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1508D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72210" cy="1090930"/>
            <wp:effectExtent l="0" t="0" r="8890" b="1397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606B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02A8536">
      <w:pPr>
        <w:pStyle w:val="2"/>
        <w:spacing w:before="287" w:line="193" w:lineRule="auto"/>
        <w:ind w:left="549"/>
        <w:rPr>
          <w:sz w:val="27"/>
          <w:szCs w:val="27"/>
        </w:rPr>
      </w:pPr>
      <w:r>
        <w:rPr>
          <w:b/>
          <w:bCs/>
          <w:sz w:val="27"/>
          <w:szCs w:val="27"/>
        </w:rPr>
        <w:t>Abl</w:t>
      </w:r>
      <w:r>
        <w:rPr>
          <w:b/>
          <w:bCs/>
          <w:spacing w:val="6"/>
          <w:sz w:val="27"/>
          <w:szCs w:val="27"/>
        </w:rPr>
        <w:t xml:space="preserve"> (Y253H)</w:t>
      </w:r>
      <w:bookmarkStart w:id="0" w:name="_GoBack"/>
      <w:bookmarkEnd w:id="0"/>
    </w:p>
    <w:p w14:paraId="33845E7A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26154</w:t>
      </w:r>
    </w:p>
    <w:p w14:paraId="67A77F3D">
      <w:pPr>
        <w:pStyle w:val="2"/>
        <w:spacing w:before="55" w:line="276" w:lineRule="exact"/>
        <w:ind w:left="556"/>
      </w:pPr>
      <w:r>
        <w:rPr>
          <w:b/>
          <w:bCs/>
          <w:position w:val="3"/>
        </w:rPr>
        <w:t xml:space="preserve">Gene Symbol: </w:t>
      </w:r>
      <w:r>
        <w:rPr>
          <w:position w:val="3"/>
        </w:rPr>
        <w:t>ABL1;</w:t>
      </w:r>
      <w:r>
        <w:rPr>
          <w:spacing w:val="-10"/>
          <w:position w:val="3"/>
        </w:rPr>
        <w:t xml:space="preserve"> </w:t>
      </w:r>
      <w:r>
        <w:rPr>
          <w:position w:val="3"/>
        </w:rPr>
        <w:t>ABL; JTK7; bcr-abl; c-ABL;</w:t>
      </w:r>
      <w:r>
        <w:rPr>
          <w:spacing w:val="-1"/>
          <w:position w:val="3"/>
        </w:rPr>
        <w:t xml:space="preserve"> p150; v-abl</w:t>
      </w:r>
    </w:p>
    <w:p w14:paraId="63FC43CE">
      <w:pPr>
        <w:pStyle w:val="2"/>
        <w:spacing w:before="102" w:line="190" w:lineRule="auto"/>
        <w:ind w:left="550"/>
      </w:pPr>
      <w:r>
        <w:pict>
          <v:shape id="_x0000_s1027" o:spid="_x0000_s1027" style="position:absolute;left:0pt;margin-left:0.35pt;margin-top:24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Anti-Abl (Y253H) Mouse Monoclonal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ntibody</w:t>
      </w:r>
    </w:p>
    <w:p w14:paraId="7EEC82EB">
      <w:pPr>
        <w:spacing w:before="47"/>
      </w:pPr>
    </w:p>
    <w:p w14:paraId="7629A8CE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0B8CD911">
      <w:pPr>
        <w:pStyle w:val="2"/>
        <w:spacing w:before="54" w:line="298" w:lineRule="auto"/>
        <w:ind w:left="549" w:right="464" w:firstLine="2"/>
      </w:pPr>
      <w:r>
        <w:rPr>
          <w:b/>
          <w:bCs/>
          <w:spacing w:val="-1"/>
        </w:rPr>
        <w:t xml:space="preserve">Background: </w:t>
      </w:r>
      <w:r>
        <w:rPr>
          <w:spacing w:val="-1"/>
        </w:rPr>
        <w:t>V-abl</w:t>
      </w:r>
      <w:r>
        <w:rPr>
          <w:spacing w:val="-5"/>
        </w:rPr>
        <w:t xml:space="preserve"> </w:t>
      </w:r>
      <w:r>
        <w:rPr>
          <w:spacing w:val="-1"/>
        </w:rPr>
        <w:t>Abelson murine leukemia</w:t>
      </w:r>
      <w:r>
        <w:t xml:space="preserve">    </w:t>
      </w:r>
      <w:r>
        <w:rPr>
          <w:spacing w:val="-1"/>
        </w:rPr>
        <w:t>viral oncogene homolog</w:t>
      </w:r>
      <w:r>
        <w:rPr>
          <w:spacing w:val="39"/>
        </w:rPr>
        <w:t xml:space="preserve"> </w:t>
      </w:r>
      <w:r>
        <w:rPr>
          <w:spacing w:val="-1"/>
        </w:rPr>
        <w:t>1 also known as</w:t>
      </w:r>
      <w:r>
        <w:rPr>
          <w:spacing w:val="-11"/>
        </w:rPr>
        <w:t xml:space="preserve"> </w:t>
      </w:r>
      <w:r>
        <w:rPr>
          <w:spacing w:val="-1"/>
        </w:rPr>
        <w:t>ABL1,</w:t>
      </w:r>
      <w:r>
        <w:t xml:space="preserve"> is a cytoplasmic and nuclear protein tyrosine</w:t>
      </w:r>
    </w:p>
    <w:p w14:paraId="7F114095">
      <w:pPr>
        <w:pStyle w:val="2"/>
        <w:spacing w:before="38" w:line="310" w:lineRule="auto"/>
        <w:ind w:left="549" w:right="559"/>
      </w:pPr>
      <w:r>
        <w:t>kinase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t>implicated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processes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cell differentiation, cell division, c</w:t>
      </w:r>
      <w:r>
        <w:rPr>
          <w:spacing w:val="-1"/>
        </w:rPr>
        <w:t>ell</w:t>
      </w:r>
      <w:r>
        <w:rPr>
          <w:spacing w:val="7"/>
        </w:rPr>
        <w:t xml:space="preserve"> </w:t>
      </w:r>
      <w:r>
        <w:rPr>
          <w:spacing w:val="-1"/>
        </w:rPr>
        <w:t>adhesion,</w:t>
      </w:r>
      <w:r>
        <w:t xml:space="preserve"> stress response and cell migration. Deficient</w:t>
      </w:r>
      <w:r>
        <w:rPr>
          <w:spacing w:val="-1"/>
        </w:rPr>
        <w:t xml:space="preserve"> in</w:t>
      </w:r>
      <w:r>
        <w:t xml:space="preserve"> </w:t>
      </w:r>
      <w:r>
        <w:rPr>
          <w:spacing w:val="-1"/>
        </w:rPr>
        <w:t>Abl can cause severe disease</w:t>
      </w:r>
      <w:r>
        <w:rPr>
          <w:spacing w:val="26"/>
          <w:w w:val="101"/>
        </w:rPr>
        <w:t xml:space="preserve"> </w:t>
      </w:r>
      <w:r>
        <w:rPr>
          <w:spacing w:val="-1"/>
        </w:rPr>
        <w:t>such</w:t>
      </w:r>
      <w:r>
        <w:rPr>
          <w:spacing w:val="8"/>
        </w:rP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rPr>
          <w:spacing w:val="-1"/>
        </w:rPr>
        <w:t>leukemia.</w:t>
      </w:r>
    </w:p>
    <w:p w14:paraId="71370071">
      <w:pPr>
        <w:pStyle w:val="2"/>
        <w:spacing w:before="2" w:line="297" w:lineRule="auto"/>
        <w:ind w:left="549" w:right="936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4"/>
        </w:rPr>
        <w:t xml:space="preserve"> </w:t>
      </w:r>
      <w:r>
        <w:t>region</w:t>
      </w:r>
      <w:r>
        <w:rPr>
          <w:spacing w:val="4"/>
        </w:rPr>
        <w:t xml:space="preserve"> </w:t>
      </w:r>
      <w:r>
        <w:t>of</w:t>
      </w:r>
      <w:r>
        <w:rPr>
          <w:spacing w:val="-32"/>
        </w:rPr>
        <w:t xml:space="preserve"> </w:t>
      </w:r>
      <w:r>
        <w:t>Abl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includes</w:t>
      </w:r>
      <w:r>
        <w:rPr>
          <w:spacing w:val="4"/>
        </w:rPr>
        <w:t xml:space="preserve"> </w:t>
      </w:r>
      <w:r>
        <w:t>the    mutation</w:t>
      </w:r>
      <w:r>
        <w:rPr>
          <w:spacing w:val="1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Y</w:t>
      </w:r>
      <w:r>
        <w:rPr>
          <w:spacing w:val="1"/>
        </w:rPr>
        <w:t xml:space="preserve">253H,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3C821903">
      <w:pPr>
        <w:pStyle w:val="2"/>
        <w:spacing w:before="105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7A95B262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035007D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6CF9A18C">
      <w:pPr>
        <w:pStyle w:val="2"/>
        <w:spacing w:before="124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215F6B2A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05843922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F93B132">
      <w:pPr>
        <w:pStyle w:val="2"/>
        <w:spacing w:before="120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D915B28">
      <w:pPr>
        <w:pStyle w:val="2"/>
        <w:spacing w:before="56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0C822E3B">
      <w:pPr>
        <w:pStyle w:val="2"/>
        <w:spacing w:before="102" w:line="297" w:lineRule="auto"/>
        <w:ind w:left="558" w:right="3163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4C3BD005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2ABDCF24">
      <w:pPr>
        <w:pStyle w:val="2"/>
        <w:spacing w:before="56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E052D10">
      <w:pPr>
        <w:pStyle w:val="2"/>
        <w:spacing w:before="36" w:line="292" w:lineRule="auto"/>
        <w:ind w:left="547" w:right="442" w:firstLine="11"/>
      </w:pPr>
      <w:r>
        <w:rPr>
          <w:b/>
          <w:bCs/>
        </w:rPr>
        <w:t xml:space="preserve">Species Reactivity: </w:t>
      </w:r>
      <w:r>
        <w:t>recogni</w:t>
      </w:r>
      <w:r>
        <w:rPr>
          <w:spacing w:val="-1"/>
        </w:rPr>
        <w:t>zes Y253H mutated,</w:t>
      </w:r>
      <w:r>
        <w:t xml:space="preserve"> but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wildtype</w:t>
      </w:r>
      <w:r>
        <w:rPr>
          <w:spacing w:val="4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4"/>
        </w:rPr>
        <w:t>.</w:t>
      </w:r>
    </w:p>
    <w:p w14:paraId="65CF1F89">
      <w:pPr>
        <w:pStyle w:val="2"/>
        <w:spacing w:before="103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71FE0DB">
      <w:pPr>
        <w:spacing w:line="55" w:lineRule="exact"/>
      </w:pPr>
    </w:p>
    <w:p w14:paraId="35C200A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2BEC917">
      <w:pPr>
        <w:pStyle w:val="2"/>
        <w:spacing w:before="151" w:line="183" w:lineRule="auto"/>
      </w:pPr>
      <w:r>
        <w:rPr>
          <w:b/>
          <w:bCs/>
          <w:spacing w:val="-1"/>
        </w:rPr>
        <w:t>Western blot:</w:t>
      </w:r>
    </w:p>
    <w:p w14:paraId="239624D1">
      <w:pPr>
        <w:spacing w:before="221" w:line="2465" w:lineRule="exact"/>
        <w:ind w:firstLine="1147"/>
      </w:pPr>
      <w:r>
        <w:rPr>
          <w:position w:val="-49"/>
        </w:rPr>
        <w:drawing>
          <wp:inline distT="0" distB="0" distL="0" distR="0">
            <wp:extent cx="1373505" cy="15646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3632" cy="156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F011C">
      <w:pPr>
        <w:pStyle w:val="2"/>
        <w:spacing w:before="247" w:line="186" w:lineRule="auto"/>
      </w:pPr>
      <w:r>
        <w:rPr>
          <w:b/>
          <w:bCs/>
        </w:rPr>
        <w:t>Western blot analys</w:t>
      </w:r>
      <w:r>
        <w:rPr>
          <w:b/>
          <w:bCs/>
          <w:spacing w:val="-1"/>
        </w:rPr>
        <w:t>is of recombinant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Abl</w:t>
      </w:r>
    </w:p>
    <w:p w14:paraId="6A63FD3A">
      <w:pPr>
        <w:pStyle w:val="2"/>
        <w:spacing w:before="120" w:line="190" w:lineRule="auto"/>
        <w:ind w:left="6"/>
      </w:pPr>
      <w:r>
        <w:rPr>
          <w:b/>
          <w:bCs/>
        </w:rPr>
        <w:t>(Y253H)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1CB73A93">
      <w:pPr>
        <w:pStyle w:val="2"/>
        <w:spacing w:before="54" w:line="276" w:lineRule="exact"/>
        <w:ind w:left="1"/>
      </w:pPr>
      <w:r>
        <w:rPr>
          <w:position w:val="3"/>
        </w:rPr>
        <w:t>His-tagged</w:t>
      </w:r>
      <w:r>
        <w:rPr>
          <w:spacing w:val="-10"/>
          <w:position w:val="3"/>
        </w:rPr>
        <w:t xml:space="preserve"> </w:t>
      </w:r>
      <w:r>
        <w:rPr>
          <w:position w:val="3"/>
        </w:rPr>
        <w:t>Abl (Y253H) protein (amino</w:t>
      </w:r>
      <w:r>
        <w:rPr>
          <w:spacing w:val="-1"/>
          <w:position w:val="3"/>
        </w:rPr>
        <w:t xml:space="preserve"> acids</w:t>
      </w:r>
    </w:p>
    <w:p w14:paraId="2B873654">
      <w:pPr>
        <w:pStyle w:val="2"/>
        <w:spacing w:before="37" w:line="292" w:lineRule="auto"/>
        <w:ind w:left="6" w:right="723" w:firstLine="15"/>
      </w:pPr>
      <w:r>
        <w:t>1-76, lane 2) and corre</w:t>
      </w:r>
      <w:r>
        <w:rPr>
          <w:spacing w:val="-1"/>
        </w:rPr>
        <w:t>sponding wild type protein</w:t>
      </w:r>
      <w:r>
        <w:t xml:space="preserve"> </w:t>
      </w:r>
      <w:r>
        <w:rPr>
          <w:spacing w:val="-1"/>
        </w:rPr>
        <w:t>(lane</w:t>
      </w:r>
      <w:r>
        <w:rPr>
          <w:spacing w:val="30"/>
        </w:rPr>
        <w:t xml:space="preserve"> </w:t>
      </w:r>
      <w:r>
        <w:rPr>
          <w:spacing w:val="-1"/>
        </w:rPr>
        <w:t>1) were blotted with anti-Abl (Y253H)</w:t>
      </w:r>
    </w:p>
    <w:p w14:paraId="5631A7D9">
      <w:pPr>
        <w:pStyle w:val="2"/>
        <w:spacing w:before="35" w:line="276" w:lineRule="exact"/>
      </w:pPr>
      <w:r>
        <w:rPr>
          <w:position w:val="3"/>
        </w:rPr>
        <w:t>mouse monoclonal antibody (Cat. #26154).</w:t>
      </w:r>
    </w:p>
    <w:p w14:paraId="5BD4578F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19FB31BF">
      <w:pPr>
        <w:spacing w:line="277" w:lineRule="auto"/>
        <w:rPr>
          <w:rFonts w:ascii="Arial"/>
          <w:sz w:val="21"/>
        </w:rPr>
      </w:pPr>
    </w:p>
    <w:p w14:paraId="0E77B4D7">
      <w:pPr>
        <w:spacing w:line="277" w:lineRule="auto"/>
        <w:rPr>
          <w:rFonts w:ascii="Arial"/>
          <w:sz w:val="21"/>
        </w:rPr>
      </w:pPr>
    </w:p>
    <w:p w14:paraId="4C135E88">
      <w:pPr>
        <w:spacing w:line="277" w:lineRule="auto"/>
        <w:rPr>
          <w:rFonts w:ascii="Arial"/>
          <w:sz w:val="21"/>
        </w:rPr>
      </w:pPr>
    </w:p>
    <w:p w14:paraId="57C8FF0C">
      <w:pPr>
        <w:spacing w:line="278" w:lineRule="auto"/>
        <w:rPr>
          <w:rFonts w:ascii="Arial"/>
          <w:sz w:val="21"/>
        </w:rPr>
      </w:pPr>
    </w:p>
    <w:p w14:paraId="51522EB4">
      <w:pPr>
        <w:spacing w:line="278" w:lineRule="auto"/>
        <w:rPr>
          <w:rFonts w:ascii="Arial"/>
          <w:sz w:val="21"/>
        </w:rPr>
      </w:pPr>
    </w:p>
    <w:p w14:paraId="3F646F0D">
      <w:pPr>
        <w:spacing w:line="278" w:lineRule="auto"/>
        <w:rPr>
          <w:rFonts w:ascii="Arial"/>
          <w:sz w:val="21"/>
        </w:rPr>
      </w:pPr>
    </w:p>
    <w:p w14:paraId="6D32793B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DC9AA6B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3518655C">
      <w:pPr>
        <w:spacing w:line="118" w:lineRule="exact"/>
      </w:pPr>
    </w:p>
    <w:p w14:paraId="45B26A9B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9B4905D">
      <w:pPr>
        <w:pStyle w:val="2"/>
        <w:spacing w:before="49" w:line="246" w:lineRule="auto"/>
        <w:ind w:left="230" w:right="1507" w:hanging="230"/>
      </w:pPr>
    </w:p>
    <w:p w14:paraId="4A816B89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70A22207">
      <w:pPr>
        <w:spacing w:line="1305" w:lineRule="exact"/>
        <w:ind w:firstLine="540"/>
      </w:pPr>
    </w:p>
    <w:p w14:paraId="74C4904C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942D6BD">
      <w:pPr>
        <w:spacing w:line="428" w:lineRule="auto"/>
        <w:rPr>
          <w:rFonts w:ascii="Arial"/>
          <w:sz w:val="21"/>
        </w:rPr>
      </w:pPr>
    </w:p>
    <w:p w14:paraId="6A0EA328">
      <w:pPr>
        <w:pStyle w:val="2"/>
        <w:spacing w:before="61" w:line="186" w:lineRule="auto"/>
        <w:ind w:left="544"/>
      </w:pPr>
      <w:r>
        <w:rPr>
          <w:b/>
          <w:bCs/>
          <w:spacing w:val="-1"/>
        </w:rPr>
        <w:t>Immunofluorescence:</w:t>
      </w:r>
    </w:p>
    <w:p w14:paraId="1953F96D">
      <w:pPr>
        <w:spacing w:before="181" w:line="4440" w:lineRule="exact"/>
        <w:ind w:firstLine="613"/>
      </w:pPr>
      <w:r>
        <w:rPr>
          <w:position w:val="-88"/>
        </w:rPr>
        <w:drawing>
          <wp:inline distT="0" distB="0" distL="0" distR="0">
            <wp:extent cx="2628900" cy="28194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4C4B6">
      <w:pPr>
        <w:pStyle w:val="2"/>
        <w:spacing w:before="181" w:line="275" w:lineRule="auto"/>
        <w:ind w:left="543" w:right="5609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1"/>
        </w:rPr>
        <w:t>Abl</w:t>
      </w:r>
      <w:r>
        <w:rPr>
          <w:b/>
          <w:bCs/>
        </w:rPr>
        <w:t xml:space="preserve"> proteins with anti-Abl (Y253H) </w:t>
      </w:r>
      <w:r>
        <w:rPr>
          <w:b/>
          <w:bCs/>
          <w:spacing w:val="-1"/>
        </w:rPr>
        <w:t>antibody.</w:t>
      </w:r>
    </w:p>
    <w:p w14:paraId="0104D17D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28F611B6">
      <w:pPr>
        <w:pStyle w:val="2"/>
        <w:spacing w:before="37" w:line="301" w:lineRule="auto"/>
        <w:ind w:left="546" w:right="5473" w:hanging="7"/>
      </w:pPr>
      <w:r>
        <w:t xml:space="preserve">pCDNA3-GFP-Abl (WT) plasmid (left column) or pCDNA3-GFP-Abl (Y253H) plasmid </w:t>
      </w:r>
      <w:r>
        <w:rPr>
          <w:spacing w:val="-1"/>
        </w:rPr>
        <w:t>(right</w:t>
      </w:r>
      <w:r>
        <w:t xml:space="preserve">   column), then fixed and stain</w:t>
      </w:r>
      <w:r>
        <w:rPr>
          <w:spacing w:val="-1"/>
        </w:rPr>
        <w:t>ed with</w:t>
      </w:r>
      <w:r>
        <w:rPr>
          <w:spacing w:val="7"/>
        </w:rPr>
        <w:t xml:space="preserve"> </w:t>
      </w:r>
      <w:r>
        <w:rPr>
          <w:spacing w:val="-1"/>
        </w:rPr>
        <w:t>anti-Abl</w:t>
      </w:r>
      <w:r>
        <w:t xml:space="preserve">     (Y253H) monoclonal antibody (Cat. #26154).</w:t>
      </w: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DE90D">
    <w:pPr>
      <w:spacing w:after="142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3308A988">
    <w:pPr>
      <w:spacing w:after="52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381D300E">
    <w:pPr>
      <w:spacing w:line="386" w:lineRule="auto"/>
      <w:rPr>
        <w:rFonts w:ascii="Arial"/>
        <w:sz w:val="21"/>
      </w:rPr>
    </w:pPr>
  </w:p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pict>
        <v:shape id="_x0000_s2050" o:spid="_x0000_s2050" o:spt="202" type="#_x0000_t202" style="position:absolute;left:0pt;margin-left:67.6pt;margin-top:-12.1pt;height:10.4pt;width:173.7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7BC45B9D">
                <w:pPr>
                  <w:spacing w:before="20" w:line="194" w:lineRule="auto"/>
                  <w:ind w:left="20"/>
                  <w:rPr>
                    <w:rFonts w:ascii="Arial" w:hAnsi="Arial" w:eastAsia="Arial" w:cs="Arial"/>
                    <w:sz w:val="18"/>
                    <w:szCs w:val="18"/>
                  </w:rPr>
                </w:pPr>
              </w:p>
            </w:txbxContent>
          </v:textbox>
        </v:shape>
      </w:pict>
    </w:r>
    <w:r>
      <w:pict>
        <v:shape id="_x0000_s2051" o:spid="_x0000_s2051" o:spt="202" type="#_x0000_t202" style="position:absolute;left:0pt;margin-left:253.85pt;margin-top:-14.6pt;height:26.05pt;width:174.3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B0FA4D8"/>
            </w:txbxContent>
          </v:textbox>
        </v:shape>
      </w:pic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205EC1DF">
    <w:pPr>
      <w:pStyle w:val="2"/>
      <w:spacing w:line="176" w:lineRule="auto"/>
      <w:ind w:left="227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0D13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253</Words>
  <Characters>1594</Characters>
  <TotalTime>1</TotalTime>
  <ScaleCrop>false</ScaleCrop>
  <LinksUpToDate>false</LinksUpToDate>
  <CharactersWithSpaces>1849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2013-02-01T09:47:00Z</dcterms:created>
  <dc:creator>Limin Wang;yanhua</dc:creator>
  <cp:lastModifiedBy>周亿福</cp:lastModifiedBy>
  <dcterms:modified xsi:type="dcterms:W3CDTF">2025-08-14T05:02:54Z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B80E8AEDAB954BDA8BE32BEAB4F1BD4E_12</vt:lpwstr>
  </property>
</Properties>
</file>